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Смета · Новосибирск, Ленина 10</w:t>
      </w:r>
    </w:p>
    <w:p>
      <w:pPr>
        <w:pStyle w:val="Subtitle"/>
      </w:pPr>
      <w:r>
        <w:t xml:space="preserve">Натяжные потолки</w:t>
      </w:r>
    </w:p>
    <w:p>
      <w:pPr>
        <w:pStyle w:val="Normal"/>
      </w:pPr>
      <w:r>
        <w:t xml:space="preserve">Подрядчик: не указан. Объект: Новосибирск, Ленина 10.</w:t>
      </w:r>
    </w:p>
    <w:p>
      <w:pPr>
        <w:pStyle w:val="Heading1"/>
      </w:pPr>
      <w:r>
        <w:t xml:space="preserve">Предложение по натяжным потолкам</w:t>
      </w:r>
    </w:p>
    <w:p>
      <w:pPr>
        <w:pStyle w:val="Normal"/>
      </w:pPr>
      <w:r>
        <w:t xml:space="preserve">Комплектация и стоимость по комнатам. Суммы предварительные; источники и расчётные допущения приведены в конце документа.</w:t>
      </w:r>
    </w:p>
    <w:tbl>
      <w:tblPr>
        <w:tblW w:w="9400" w:type="dxa"/>
        <w:tblLayout w:type="fixed"/>
        <w:tblBorders>
          <w:bottom w:val="single" w:sz="4" w:color="CBD5E3"/>
          <w:insideH w:val="single" w:sz="4" w:color="DCE3ED"/>
        </w:tblBorders>
        <w:tblCellMar>
          <w:top w:w="90" w:type="dxa"/>
          <w:left w:w="80" w:type="dxa"/>
          <w:bottom w:w="90" w:type="dxa"/>
          <w:right w:w="80" w:type="dxa"/>
        </w:tblCellMar>
      </w:tblPr>
      <w:tblGrid>
        <w:gridCol w:w="5000"/>
        <w:gridCol w:w="1600"/>
        <w:gridCol w:w="2800"/>
      </w:tblGrid>
      <w:tr>
        <w:trPr>
          <w:cantSplit/>
          <w:tblHeader/>
        </w:trPr>
        <w:tc>
          <w:tcPr>
            <w:tcW w:w="5000" w:type="dxa"/>
            <w:shd w:fill="E6EEF9"/>
          </w:tcPr>
          <w:p>
            <w:pPr>
              <w:pStyle w:val="TableHeader"/>
            </w:pPr>
            <w:r>
              <w:t xml:space="preserve">Комната</w:t>
            </w:r>
          </w:p>
        </w:tc>
        <w:tc>
          <w:tcPr>
            <w:tcW w:w="1600" w:type="dxa"/>
            <w:shd w:fill="E6EEF9"/>
          </w:tcPr>
          <w:p>
            <w:pPr>
              <w:pStyle w:val="TableHeader"/>
            </w:pPr>
            <w:r>
              <w:t xml:space="preserve">Площадь</w:t>
            </w:r>
          </w:p>
        </w:tc>
        <w:tc>
          <w:tcPr>
            <w:tcW w:w="2800" w:type="dxa"/>
            <w:shd w:fill="E6EEF9"/>
          </w:tcPr>
          <w:p>
            <w:pPr>
              <w:pStyle w:val="TableHeader"/>
            </w:pPr>
            <w:r>
              <w:t xml:space="preserve">До скидки</w:t>
            </w:r>
          </w:p>
        </w:tc>
      </w:tr>
      <w:tr>
        <w:trPr>
          <w:cantSplit/>
        </w:trPr>
        <w:tc>
          <w:tcPr>
            <w:tcW w:w="5000" w:type="dxa"/>
          </w:tcPr>
          <w:p>
            <w:pPr>
              <w:pStyle w:val="TableText"/>
            </w:pPr>
            <w:r>
              <w:t xml:space="preserve">Гостиная</w:t>
            </w:r>
          </w:p>
        </w:tc>
        <w:tc>
          <w:tcPr>
            <w:tcW w:w="1600" w:type="dxa"/>
          </w:tcPr>
          <w:p>
            <w:pPr>
              <w:pStyle w:val="TableText"/>
            </w:pPr>
            <w:r>
              <w:t xml:space="preserve">16 м²</w:t>
            </w:r>
          </w:p>
        </w:tc>
        <w:tc>
          <w:tcPr>
            <w:tcW w:w="2800" w:type="dxa"/>
          </w:tcPr>
          <w:p>
            <w:pPr>
              <w:pStyle w:val="TableText"/>
            </w:pPr>
            <w:r>
              <w:t xml:space="preserve">23 575,00 ₽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>Подытог: 23 575,00 ₽. Скидка: 0,00 ₽ (вся смета).</w:t>
      </w:r>
    </w:p>
    <w:p>
      <w:pPr>
        <w:pStyle w:val="Heading1"/>
      </w:pPr>
      <w:r>
        <w:t xml:space="preserve">Итого: 23 575,00 ₽</w:t>
      </w:r>
    </w:p>
    <w:p>
      <w:pPr>
        <w:pStyle w:val="Heading1"/>
      </w:pPr>
      <w:r>
        <w:t xml:space="preserve">Гостиная</w:t>
      </w:r>
    </w:p>
    <w:p>
      <w:pPr>
        <w:pStyle w:val="Normal"/>
      </w:pPr>
      <w:r>
        <w:t xml:space="preserve">Площадь: 16 м². Периметр: 16 м.</w:t>
      </w:r>
    </w:p>
    <w:p>
      <w:pPr>
        <w:pStyle w:val="Normal"/>
      </w:pPr>
      <w:r>
        <w:t xml:space="preserve">Полотно: Матовое ПВХ. С маскировочной вставкой</w:t>
      </w:r>
    </w:p>
    <w:p>
      <w:pPr>
        <w:keepNext/>
      </w:pPr>
      <w:r>
        <w:drawing>
          <wp:inline distT="0" distB="0" distL="0" distR="0">
            <wp:extent cx="5400000" cy="4050000"/>
            <wp:docPr id="1" name="Схема · Гостиная · предварительная геометрия" descr="Схема · Гостиная · предварительная геометрия"/>
            <a:graphic>
              <a:graphicData uri="http://schemas.openxmlformats.org/drawingml/2006/picture">
                <pic:pic>
                  <pic:nvPicPr>
                    <pic:cNvPr id="1" name="image-1.jpg"/>
                    <pic:cNvPicPr/>
                  </pic:nvPicPr>
                  <pic:blipFill>
                    <a:blip r:embed="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 xml:space="preserve">Схема · Гостиная · предварительная геометрия</w:t>
      </w:r>
    </w:p>
    <w:p>
      <w:pPr>
        <w:pStyle w:val="Heading1"/>
      </w:pPr>
      <w:r>
        <w:t xml:space="preserve">Этапы работ</w:t>
      </w:r>
    </w:p>
    <w:p>
      <w:pPr>
        <w:pStyle w:val="Normal"/>
      </w:pPr>
      <w:r>
        <w:t xml:space="preserve">1. Монтаж профиля натяжного потолка — 16 м</w:t>
        <w:br/>
        <w:t xml:space="preserve">2. Монтаж натяжного потолка — 16 м²</w:t>
      </w:r>
    </w:p>
    <w:p>
      <w:pPr>
        <w:pStyle w:val="Heading1"/>
      </w:pPr>
      <w:r>
        <w:t xml:space="preserve">Работы</w:t>
      </w:r>
    </w:p>
    <w:tbl>
      <w:tblPr>
        <w:tblW w:w="9400" w:type="dxa"/>
        <w:tblLayout w:type="fixed"/>
        <w:tblBorders>
          <w:bottom w:val="single" w:sz="4" w:color="CBD5E3"/>
          <w:insideH w:val="single" w:sz="4" w:color="DCE3ED"/>
        </w:tblBorders>
        <w:tblCellMar>
          <w:top w:w="90" w:type="dxa"/>
          <w:left w:w="80" w:type="dxa"/>
          <w:bottom w:w="90" w:type="dxa"/>
          <w:right w:w="80" w:type="dxa"/>
        </w:tblCellMar>
      </w:tblPr>
      <w:tblGrid>
        <w:gridCol w:w="4500"/>
        <w:gridCol w:w="1600"/>
        <w:gridCol w:w="1600"/>
        <w:gridCol w:w="1700"/>
      </w:tblGrid>
      <w:tr>
        <w:trPr>
          <w:cantSplit/>
          <w:tblHeader/>
        </w:trPr>
        <w:tc>
          <w:tcPr>
            <w:tcW w:w="4500" w:type="dxa"/>
            <w:shd w:fill="E6EEF9"/>
          </w:tcPr>
          <w:p>
            <w:pPr>
              <w:pStyle w:val="TableHeader"/>
            </w:pPr>
            <w:r>
              <w:t xml:space="preserve">Наименование</w:t>
            </w:r>
          </w:p>
        </w:tc>
        <w:tc>
          <w:tcPr>
            <w:tcW w:w="1600" w:type="dxa"/>
            <w:shd w:fill="E6EEF9"/>
          </w:tcPr>
          <w:p>
            <w:pPr>
              <w:pStyle w:val="TableHeader"/>
            </w:pPr>
            <w:r>
              <w:t xml:space="preserve">Количество</w:t>
            </w:r>
          </w:p>
        </w:tc>
        <w:tc>
          <w:tcPr>
            <w:tcW w:w="1600" w:type="dxa"/>
            <w:shd w:fill="E6EEF9"/>
          </w:tcPr>
          <w:p>
            <w:pPr>
              <w:pStyle w:val="TableHeader"/>
            </w:pPr>
            <w:r>
              <w:t xml:space="preserve">Цена, ₽</w:t>
            </w:r>
          </w:p>
        </w:tc>
        <w:tc>
          <w:tcPr>
            <w:tcW w:w="1700" w:type="dxa"/>
            <w:shd w:fill="E6EEF9"/>
          </w:tcPr>
          <w:p>
            <w:pPr>
              <w:pStyle w:val="TableHeader"/>
            </w:pPr>
            <w:r>
              <w:t xml:space="preserve">Сумма, ₽</w:t>
            </w:r>
          </w:p>
        </w:tc>
      </w:tr>
      <w:tr>
        <w:trPr>
          <w:cantSplit/>
        </w:trPr>
        <w:tc>
          <w:tcPr>
            <w:tcW w:w="4500" w:type="dxa"/>
          </w:tcPr>
          <w:p>
            <w:pPr>
              <w:pStyle w:val="TableText"/>
            </w:pPr>
            <w:r>
              <w:t xml:space="preserve">Монтаж натяжного потолка</w:t>
            </w:r>
          </w:p>
        </w:tc>
        <w:tc>
          <w:tcPr>
            <w:tcW w:w="1600" w:type="dxa"/>
          </w:tcPr>
          <w:p>
            <w:pPr>
              <w:pStyle w:val="TableText"/>
            </w:pPr>
            <w:r>
              <w:t xml:space="preserve">16 м²</w:t>
            </w:r>
          </w:p>
        </w:tc>
        <w:tc>
          <w:tcPr>
            <w:tcW w:w="1600" w:type="dxa"/>
          </w:tcPr>
          <w:p>
            <w:pPr>
              <w:pStyle w:val="TableText"/>
            </w:pPr>
            <w:r>
              <w:t xml:space="preserve">125,00 ₽</w:t>
            </w:r>
          </w:p>
        </w:tc>
        <w:tc>
          <w:tcPr>
            <w:tcW w:w="1700" w:type="dxa"/>
          </w:tcPr>
          <w:p>
            <w:pPr>
              <w:pStyle w:val="TableText"/>
            </w:pPr>
            <w:r>
              <w:t xml:space="preserve">2 000,00 ₽</w:t>
            </w:r>
          </w:p>
        </w:tc>
      </w:tr>
      <w:tr>
        <w:trPr>
          <w:cantSplit/>
        </w:trPr>
        <w:tc>
          <w:tcPr>
            <w:tcW w:w="4500" w:type="dxa"/>
          </w:tcPr>
          <w:p>
            <w:pPr>
              <w:pStyle w:val="TableText"/>
            </w:pPr>
            <w:r>
              <w:t xml:space="preserve">Монтаж профиля натяжного потолка</w:t>
            </w:r>
          </w:p>
        </w:tc>
        <w:tc>
          <w:tcPr>
            <w:tcW w:w="1600" w:type="dxa"/>
          </w:tcPr>
          <w:p>
            <w:pPr>
              <w:pStyle w:val="TableText"/>
            </w:pPr>
            <w:r>
              <w:t xml:space="preserve">16 м</w:t>
            </w:r>
          </w:p>
        </w:tc>
        <w:tc>
          <w:tcPr>
            <w:tcW w:w="1600" w:type="dxa"/>
          </w:tcPr>
          <w:p>
            <w:pPr>
              <w:pStyle w:val="TableText"/>
            </w:pPr>
            <w:r>
              <w:t xml:space="preserve">125,00 ₽</w:t>
            </w:r>
          </w:p>
        </w:tc>
        <w:tc>
          <w:tcPr>
            <w:tcW w:w="1700" w:type="dxa"/>
          </w:tcPr>
          <w:p>
            <w:pPr>
              <w:pStyle w:val="TableText"/>
            </w:pPr>
            <w:r>
              <w:t xml:space="preserve">2 000,00 ₽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Heading1"/>
      </w:pPr>
      <w:r>
        <w:t xml:space="preserve">Материалы</w:t>
      </w:r>
    </w:p>
    <w:tbl>
      <w:tblPr>
        <w:tblW w:w="9400" w:type="dxa"/>
        <w:tblLayout w:type="fixed"/>
        <w:tblBorders>
          <w:bottom w:val="single" w:sz="4" w:color="CBD5E3"/>
          <w:insideH w:val="single" w:sz="4" w:color="DCE3ED"/>
        </w:tblBorders>
        <w:tblCellMar>
          <w:top w:w="90" w:type="dxa"/>
          <w:left w:w="80" w:type="dxa"/>
          <w:bottom w:w="90" w:type="dxa"/>
          <w:right w:w="80" w:type="dxa"/>
        </w:tblCellMar>
      </w:tblPr>
      <w:tblGrid>
        <w:gridCol w:w="4500"/>
        <w:gridCol w:w="1600"/>
        <w:gridCol w:w="1600"/>
        <w:gridCol w:w="1700"/>
      </w:tblGrid>
      <w:tr>
        <w:trPr>
          <w:cantSplit/>
          <w:tblHeader/>
        </w:trPr>
        <w:tc>
          <w:tcPr>
            <w:tcW w:w="4500" w:type="dxa"/>
            <w:shd w:fill="E6EEF9"/>
          </w:tcPr>
          <w:p>
            <w:pPr>
              <w:pStyle w:val="TableHeader"/>
            </w:pPr>
            <w:r>
              <w:t xml:space="preserve">Наименование</w:t>
            </w:r>
          </w:p>
        </w:tc>
        <w:tc>
          <w:tcPr>
            <w:tcW w:w="1600" w:type="dxa"/>
            <w:shd w:fill="E6EEF9"/>
          </w:tcPr>
          <w:p>
            <w:pPr>
              <w:pStyle w:val="TableHeader"/>
            </w:pPr>
            <w:r>
              <w:t xml:space="preserve">Количество</w:t>
            </w:r>
          </w:p>
        </w:tc>
        <w:tc>
          <w:tcPr>
            <w:tcW w:w="1600" w:type="dxa"/>
            <w:shd w:fill="E6EEF9"/>
          </w:tcPr>
          <w:p>
            <w:pPr>
              <w:pStyle w:val="TableHeader"/>
            </w:pPr>
            <w:r>
              <w:t xml:space="preserve">Цена, ₽</w:t>
            </w:r>
          </w:p>
        </w:tc>
        <w:tc>
          <w:tcPr>
            <w:tcW w:w="1700" w:type="dxa"/>
            <w:shd w:fill="E6EEF9"/>
          </w:tcPr>
          <w:p>
            <w:pPr>
              <w:pStyle w:val="TableHeader"/>
            </w:pPr>
            <w:r>
              <w:t xml:space="preserve">Сумма, ₽</w:t>
            </w:r>
          </w:p>
        </w:tc>
      </w:tr>
      <w:tr>
        <w:trPr>
          <w:cantSplit/>
        </w:trPr>
        <w:tc>
          <w:tcPr>
            <w:tcW w:w="4500" w:type="dxa"/>
          </w:tcPr>
          <w:p>
            <w:pPr>
              <w:pStyle w:val="TableText"/>
            </w:pPr>
            <w:r>
              <w:t xml:space="preserve">Полотно: Матовое ПВХ</w:t>
            </w:r>
          </w:p>
        </w:tc>
        <w:tc>
          <w:tcPr>
            <w:tcW w:w="1600" w:type="dxa"/>
          </w:tcPr>
          <w:p>
            <w:pPr>
              <w:pStyle w:val="TableText"/>
            </w:pPr>
            <w:r>
              <w:t xml:space="preserve">16 м²</w:t>
            </w:r>
          </w:p>
        </w:tc>
        <w:tc>
          <w:tcPr>
            <w:tcW w:w="1600" w:type="dxa"/>
          </w:tcPr>
          <w:p>
            <w:pPr>
              <w:pStyle w:val="TableText"/>
            </w:pPr>
            <w:r>
              <w:t xml:space="preserve">125,00 ₽</w:t>
            </w:r>
          </w:p>
        </w:tc>
        <w:tc>
          <w:tcPr>
            <w:tcW w:w="1700" w:type="dxa"/>
          </w:tcPr>
          <w:p>
            <w:pPr>
              <w:pStyle w:val="TableText"/>
            </w:pPr>
            <w:r>
              <w:t xml:space="preserve">2 000,00 ₽</w:t>
            </w:r>
          </w:p>
        </w:tc>
      </w:tr>
      <w:tr>
        <w:trPr>
          <w:cantSplit/>
        </w:trPr>
        <w:tc>
          <w:tcPr>
            <w:tcW w:w="4500" w:type="dxa"/>
          </w:tcPr>
          <w:p>
            <w:pPr>
              <w:pStyle w:val="TableText"/>
            </w:pPr>
            <w:r>
              <w:t xml:space="preserve">Профиль / багет для натяжного потолка</w:t>
            </w:r>
          </w:p>
        </w:tc>
        <w:tc>
          <w:tcPr>
            <w:tcW w:w="1600" w:type="dxa"/>
          </w:tcPr>
          <w:p>
            <w:pPr>
              <w:pStyle w:val="TableText"/>
            </w:pPr>
            <w:r>
              <w:t xml:space="preserve">16.8 м</w:t>
            </w:r>
          </w:p>
        </w:tc>
        <w:tc>
          <w:tcPr>
            <w:tcW w:w="1600" w:type="dxa"/>
          </w:tcPr>
          <w:p>
            <w:pPr>
              <w:pStyle w:val="TableText"/>
            </w:pPr>
            <w:r>
              <w:t xml:space="preserve">125,00 ₽</w:t>
            </w:r>
          </w:p>
        </w:tc>
        <w:tc>
          <w:tcPr>
            <w:tcW w:w="1700" w:type="dxa"/>
          </w:tcPr>
          <w:p>
            <w:pPr>
              <w:pStyle w:val="TableText"/>
            </w:pPr>
            <w:r>
              <w:t xml:space="preserve">2 100,00 ₽</w:t>
            </w:r>
          </w:p>
        </w:tc>
      </w:tr>
      <w:tr>
        <w:trPr>
          <w:cantSplit/>
        </w:trPr>
        <w:tc>
          <w:tcPr>
            <w:tcW w:w="4500" w:type="dxa"/>
          </w:tcPr>
          <w:p>
            <w:pPr>
              <w:pStyle w:val="TableText"/>
            </w:pPr>
            <w:r>
              <w:t xml:space="preserve">Маскировочная вставка</w:t>
            </w:r>
          </w:p>
        </w:tc>
        <w:tc>
          <w:tcPr>
            <w:tcW w:w="1600" w:type="dxa"/>
          </w:tcPr>
          <w:p>
            <w:pPr>
              <w:pStyle w:val="TableText"/>
            </w:pPr>
            <w:r>
              <w:t xml:space="preserve">16.8 м</w:t>
            </w:r>
          </w:p>
        </w:tc>
        <w:tc>
          <w:tcPr>
            <w:tcW w:w="1600" w:type="dxa"/>
          </w:tcPr>
          <w:p>
            <w:pPr>
              <w:pStyle w:val="TableText"/>
            </w:pPr>
            <w:r>
              <w:t xml:space="preserve">125,00 ₽</w:t>
            </w:r>
          </w:p>
        </w:tc>
        <w:tc>
          <w:tcPr>
            <w:tcW w:w="1700" w:type="dxa"/>
          </w:tcPr>
          <w:p>
            <w:pPr>
              <w:pStyle w:val="TableText"/>
            </w:pPr>
            <w:r>
              <w:t xml:space="preserve">2 100,00 ₽</w:t>
            </w:r>
          </w:p>
        </w:tc>
      </w:tr>
      <w:tr>
        <w:trPr>
          <w:cantSplit/>
        </w:trPr>
        <w:tc>
          <w:tcPr>
            <w:tcW w:w="4500" w:type="dxa"/>
          </w:tcPr>
          <w:p>
            <w:pPr>
              <w:pStyle w:val="TableText"/>
            </w:pPr>
            <w:r>
              <w:t xml:space="preserve">Крепёж профиля: Бетон</w:t>
            </w:r>
          </w:p>
        </w:tc>
        <w:tc>
          <w:tcPr>
            <w:tcW w:w="1600" w:type="dxa"/>
          </w:tcPr>
          <w:p>
            <w:pPr>
              <w:pStyle w:val="TableText"/>
            </w:pPr>
            <w:r>
              <w:t xml:space="preserve">107 шт</w:t>
            </w:r>
          </w:p>
        </w:tc>
        <w:tc>
          <w:tcPr>
            <w:tcW w:w="1600" w:type="dxa"/>
          </w:tcPr>
          <w:p>
            <w:pPr>
              <w:pStyle w:val="TableText"/>
            </w:pPr>
            <w:r>
              <w:t xml:space="preserve">125,00 ₽</w:t>
            </w:r>
          </w:p>
        </w:tc>
        <w:tc>
          <w:tcPr>
            <w:tcW w:w="1700" w:type="dxa"/>
          </w:tcPr>
          <w:p>
            <w:pPr>
              <w:pStyle w:val="TableText"/>
            </w:pPr>
            <w:r>
              <w:t xml:space="preserve">13 375,00 ₽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>По комнате до скидки: 23 575,00 ₽</w:t>
      </w:r>
    </w:p>
    <w:p>
      <w:pPr>
        <w:pStyle w:val="Heading1"/>
      </w:pPr>
      <w:r>
        <w:t xml:space="preserve">Источники и условия</w:t>
      </w:r>
    </w:p>
    <w:p>
      <w:pPr>
        <w:pStyle w:val="Normal"/>
      </w:pPr>
      <w:r>
        <w:t xml:space="preserve">Цена пользователя</w:t>
      </w:r>
    </w:p>
    <w:p>
      <w:pPr>
        <w:pStyle w:val="Normal"/>
      </w:pPr>
      <w:r>
        <w:t xml:space="preserve">Гостиная: Часть размеров получена по схеме; перед изготовлением требуется контрольный замер.</w:t>
        <w:br/>
        <w:t xml:space="preserve">Гостиная: Форма ещё не определена однозначно: добавьте независимые измеренные диагонали. Площадь и углы предварительные.</w:t>
        <w:br/>
        <w:t xml:space="preserve">Гостиная: Расход крепежа, длина проводов и питание света — редактируемые расчётные допущения, не проект монтажа.</w:t>
      </w:r>
    </w:p>
    <w:p>
      <w:pPr>
        <w:pStyle w:val="Normal"/>
      </w:pPr>
      <w:r>
        <w:t xml:space="preserve">Визуализации показывают концепцию отделки. Размеры полотна для изготовления, крепёж и электрику проверяет исполнитель. Дата расчёта: 2026-09-17.</w:t>
      </w:r>
    </w:p>
    <w:sectPr>
      <w:pgSz w:w="11906" w:h="16838"/>
      <w:pgMar w:top="1134" w:right="1253" w:bottom="1134" w:left="1253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lang w:val="ru-RU"/>
      </w:rPr>
    </w:rPrDefault>
    <w:pPrDefault>
      <w:pPr>
        <w:spacing w:after="110" w:line="264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before="220" w:after="140"/>
    </w:pPr>
    <w:rPr>
      <w:sz w:val="36"/>
      <w:b/>
      <w:color w:val="183B6F"/>
    </w:rPr>
  </w:style>
  <w:style w:type="paragraph" w:styleId="Subtitle">
    <w:name w:val="Subtitle"/>
    <w:basedOn w:val="Normal"/>
    <w:pPr/>
    <w:rPr>
      <w:sz w:val="20"/>
    </w:rPr>
  </w:style>
  <w:style w:type="paragraph" w:styleId="Heading1">
    <w:name w:val="Heading1"/>
    <w:basedOn w:val="Normal"/>
    <w:pPr>
      <w:keepNext/>
      <w:spacing w:before="220" w:after="140"/>
    </w:pPr>
    <w:rPr>
      <w:sz w:val="27"/>
      <w:b/>
      <w:color w:val="183B6F"/>
    </w:rPr>
  </w:style>
  <w:style w:type="paragraph" w:styleId="Caption">
    <w:name w:val="Caption"/>
    <w:basedOn w:val="Normal"/>
    <w:pPr/>
    <w:rPr>
      <w:sz w:val="18"/>
    </w:rPr>
  </w:style>
  <w:style w:type="paragraph" w:styleId="TableText">
    <w:name w:val="TableText"/>
    <w:basedOn w:val="Normal"/>
    <w:pPr/>
    <w:rPr>
      <w:sz w:val="18"/>
    </w:rPr>
  </w:style>
  <w:style w:type="paragraph" w:styleId="TableHeader">
    <w:name w:val="TableHeader"/>
    <w:basedOn w:val="Normal"/>
    <w:pPr/>
    <w:rPr>
      <w:sz w:val="18"/>
      <w:b/>
      <w:color w:val="183B6F"/>
    </w:rPr>
  </w:style>
</w:styles>
</file>

<file path=word/_rels/document.xml.rels><?xml version="1.0" encoding="UTF-8" standalone="yes"?><Relationships xmlns="http://schemas.openxmlformats.org/package/2006/relationships"><Relationship Id="styles" Type="http://schemas.openxmlformats.org/officeDocument/2006/relationships/styles" Target="styles.xml"/><Relationship Id="img1" Type="http://schemas.openxmlformats.org/officeDocument/2006/relationships/image" Target="media/image-1.jpg"/></Relationships>
</file>